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 xml:space="preserve">С 26 по 28 ноября 2025 года на территории Научно-технологического университета «Сириус» состоялся юбилейный V Конгресс молодых учёных. На ключевом ежегодном мероприятии Десятилетия науки и технологий (2022–2031 гг.) </w:t>
      </w:r>
      <w:r>
        <w:rPr>
          <w:rFonts w:ascii="Times New Roman" w:hAnsi="Times New Roman"/>
          <w:color w:val="000000"/>
          <w:sz w:val="32"/>
        </w:rPr>
        <w:t xml:space="preserve">я, </w:t>
      </w:r>
      <w:r>
        <w:rPr>
          <w:rFonts w:ascii="Times New Roman" w:hAnsi="Times New Roman"/>
          <w:color w:val="000000"/>
          <w:sz w:val="32"/>
        </w:rPr>
        <w:t>Вольвач</w:t>
      </w:r>
      <w:r>
        <w:rPr>
          <w:rFonts w:ascii="Times New Roman" w:hAnsi="Times New Roman"/>
          <w:color w:val="000000"/>
          <w:sz w:val="32"/>
        </w:rPr>
        <w:t xml:space="preserve"> Анна Александровна, </w:t>
      </w:r>
      <w:r>
        <w:rPr>
          <w:rFonts w:ascii="Times New Roman" w:hAnsi="Times New Roman"/>
          <w:color w:val="000000"/>
          <w:sz w:val="32"/>
        </w:rPr>
        <w:t xml:space="preserve">побывала </w:t>
      </w:r>
      <w:r>
        <w:rPr>
          <w:rFonts w:ascii="Times New Roman" w:hAnsi="Times New Roman"/>
          <w:color w:val="000000"/>
          <w:sz w:val="32"/>
        </w:rPr>
        <w:t xml:space="preserve">в составе делегации, который состоял из 8 человек.  </w:t>
      </w:r>
    </w:p>
    <w:p w14:paraId="02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Организатором площадки — концентрата молодости и интеллекта — выступил Фонд «</w:t>
      </w:r>
      <w:r>
        <w:rPr>
          <w:rFonts w:ascii="Times New Roman" w:hAnsi="Times New Roman"/>
          <w:color w:val="000000"/>
          <w:sz w:val="32"/>
        </w:rPr>
        <w:t>Росконгресс</w:t>
      </w:r>
      <w:r>
        <w:rPr>
          <w:rFonts w:ascii="Times New Roman" w:hAnsi="Times New Roman"/>
          <w:color w:val="000000"/>
          <w:sz w:val="32"/>
        </w:rPr>
        <w:t xml:space="preserve">» при поддержке Правительства России, </w:t>
      </w:r>
      <w:r>
        <w:rPr>
          <w:rFonts w:ascii="Times New Roman" w:hAnsi="Times New Roman"/>
          <w:color w:val="000000"/>
          <w:sz w:val="32"/>
        </w:rPr>
        <w:t>Минобрнауки</w:t>
      </w:r>
      <w:r>
        <w:rPr>
          <w:rFonts w:ascii="Times New Roman" w:hAnsi="Times New Roman"/>
          <w:color w:val="000000"/>
          <w:sz w:val="32"/>
        </w:rPr>
        <w:t xml:space="preserve"> России и Координационного совета по делам молодёжи в научной и образовательной сферах Совета при Президенте РФ по науке и образованию.</w:t>
      </w:r>
    </w:p>
    <w:p w14:paraId="03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Мероприятие стало самым масштабным за всю историю: его посетило более 8,5 тысяч человек из более чем 100 стран мира, включая Индию, Китай и Иран.</w:t>
      </w:r>
    </w:p>
    <w:p w14:paraId="04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Среди участников Конгресса — ведущие учёные, изобретатели, технологические предприниматели, государственные деятели, представители научных и образовательных организаций, бизнес-сообщества и не только. Каждый пятый участник — кандидат наук в возрасте до 35 лет и каждый третий — доктор наук в возрасте до 39 лет.</w:t>
      </w:r>
    </w:p>
    <w:p w14:paraId="05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Ключевая тема Конгресса 2025 года — </w:t>
      </w:r>
      <w:r>
        <w:rPr>
          <w:rFonts w:ascii="Times New Roman" w:hAnsi="Times New Roman"/>
          <w:b w:val="1"/>
          <w:color w:val="000000"/>
          <w:sz w:val="32"/>
        </w:rPr>
        <w:t>«Энергия науки: от потенциала знаний к созиданию будущего»</w:t>
      </w:r>
      <w:r>
        <w:rPr>
          <w:rFonts w:ascii="Times New Roman" w:hAnsi="Times New Roman"/>
          <w:color w:val="000000"/>
          <w:sz w:val="32"/>
        </w:rPr>
        <w:t xml:space="preserve">. </w:t>
      </w:r>
    </w:p>
    <w:p w14:paraId="06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Всего в рамках Конгресса состоялось более 550 мероприятий, организованных в форматах лекций, семинаров, деловых игр, открытых диалогов, презентаций экспертных докладов, мастер-классов, интеллектуальных игр, научных битв, кинопоказов и др. В мероприятия включились 59 партнёров, в том числе реальный сектор экономики, со стороны которого в этом году заметно увеличилось число участников.</w:t>
      </w:r>
    </w:p>
    <w:p w14:paraId="07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На мероприятиях обсуждались вопросы развития космических технологий, энергетики, агропромышленного комплекса, биотехнологий, химической промышленности, транспорта и логистики, цифровых технологий, развития социально-гуманитарных наук и не только.</w:t>
      </w:r>
    </w:p>
    <w:p w14:paraId="08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Особое внимание в связи с 80-летием атомной промышленности было уделено энергетике и вкладу науки в развитие атомной отрасли.</w:t>
      </w:r>
    </w:p>
    <w:p w14:paraId="09000000">
      <w:pPr>
        <w:widowControl w:val="1"/>
        <w:spacing w:after="0"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b w:val="1"/>
          <w:color w:val="000000"/>
          <w:sz w:val="32"/>
        </w:rPr>
        <w:t xml:space="preserve">Какова же цель присутствия </w:t>
      </w:r>
      <w:r>
        <w:rPr>
          <w:rFonts w:ascii="Times New Roman" w:hAnsi="Times New Roman"/>
          <w:b w:val="1"/>
          <w:color w:val="000000"/>
          <w:sz w:val="32"/>
        </w:rPr>
        <w:t>учителей ,</w:t>
      </w:r>
      <w:r>
        <w:rPr>
          <w:rFonts w:ascii="Times New Roman" w:hAnsi="Times New Roman"/>
          <w:b w:val="1"/>
          <w:color w:val="000000"/>
          <w:sz w:val="32"/>
        </w:rPr>
        <w:t xml:space="preserve"> </w:t>
      </w:r>
      <w:r>
        <w:rPr>
          <w:rFonts w:ascii="Times New Roman" w:hAnsi="Times New Roman"/>
          <w:b w:val="1"/>
          <w:color w:val="000000"/>
          <w:sz w:val="32"/>
        </w:rPr>
        <w:t>спросите вы? А я вам отвечу!</w:t>
      </w:r>
    </w:p>
    <w:p w14:paraId="0A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За последние годы в российском обществе наблюдается возрастание интереса к науке: так, по данным ВЦИОМ на 5 февраля 2025 года уже 85% россиян обозначают свой интерес к информации о современных научных достижениях российских учёных, в том числе 23% могут специально искать и изучать такие новости. С каждым годом увеличивается и доля молодых исследователей. Всё это не в последнюю очередь является следствием повышения видимости науки.</w:t>
      </w:r>
    </w:p>
    <w:p w14:paraId="0B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 xml:space="preserve">В России активно производится научный контент — сериалы, фильмы, </w:t>
      </w:r>
      <w:r>
        <w:rPr>
          <w:rFonts w:ascii="Times New Roman" w:hAnsi="Times New Roman"/>
          <w:color w:val="000000"/>
          <w:sz w:val="32"/>
        </w:rPr>
        <w:t>медиапродукты</w:t>
      </w:r>
      <w:r>
        <w:rPr>
          <w:rFonts w:ascii="Times New Roman" w:hAnsi="Times New Roman"/>
          <w:color w:val="000000"/>
          <w:sz w:val="32"/>
        </w:rPr>
        <w:t>, включая подкасты и шоу. По словам экспертов, данные форматы демонстрируют свою эффективность в деле привлечения молодёжи.</w:t>
      </w:r>
    </w:p>
    <w:p w14:paraId="0C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b w:val="1"/>
          <w:color w:val="000000"/>
          <w:sz w:val="32"/>
        </w:rPr>
      </w:pPr>
      <w:r>
        <w:rPr>
          <w:rFonts w:ascii="Times New Roman" w:hAnsi="Times New Roman"/>
          <w:b w:val="1"/>
          <w:color w:val="000000"/>
          <w:sz w:val="32"/>
        </w:rPr>
        <w:t>Вот мы, учителя, смотрели, впитывали и вдохновлялись. Что бы приехать домой и рассказать своим ученикам, как круто быть ученым. Какой мир открывается перед учеными, как сейчас легко заинтересовать своим изобретением. Сейчас созданы все условия для роста в науке и продвижению.</w:t>
      </w:r>
      <w:r>
        <w:rPr>
          <w:rFonts w:ascii="Times New Roman" w:hAnsi="Times New Roman"/>
          <w:b w:val="1"/>
          <w:color w:val="000000"/>
          <w:sz w:val="32"/>
        </w:rPr>
        <w:t xml:space="preserve"> </w:t>
      </w:r>
    </w:p>
    <w:p w14:paraId="0D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Для вовлечения молодых людей в научно-исследовательскую работу эксперты предлагали уделять больше внимание развитию научной среды, формированию научных сообществ, открытию научных лабораторий и проведению конкурсов.</w:t>
      </w:r>
    </w:p>
    <w:p w14:paraId="0E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</w:p>
    <w:p w14:paraId="0F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Ну что говорить, фото, представленные мной, скажут за меня лучше.</w:t>
      </w:r>
    </w:p>
    <w:p w14:paraId="10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</w:p>
    <w:p w14:paraId="11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Особое внимание я бы хотела уделить лаборатории на базе университета «Сириус». Мне удалось побывать в этом удивительном месте.</w:t>
      </w:r>
    </w:p>
    <w:p w14:paraId="12000000">
      <w:pPr>
        <w:widowControl w:val="1"/>
        <w:spacing w:after="120" w:line="240" w:lineRule="auto"/>
        <w:ind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b w:val="1"/>
          <w:color w:val="333333"/>
          <w:sz w:val="32"/>
        </w:rPr>
        <w:t>Лабораторный комплекс Научно-технологического университета «Сириус»</w:t>
      </w:r>
      <w:r>
        <w:rPr>
          <w:rFonts w:ascii="Times New Roman" w:hAnsi="Times New Roman"/>
          <w:color w:val="333333"/>
          <w:sz w:val="32"/>
        </w:rPr>
        <w:t xml:space="preserve"> объединяет современную приборную базу и специализированные лаборатории в одном интегрированном пространстве. Комплекс был открыт в 2022 году.  </w:t>
      </w:r>
    </w:p>
    <w:p w14:paraId="13000000">
      <w:pPr>
        <w:widowControl w:val="1"/>
        <w:spacing w:after="120" w:line="240" w:lineRule="auto"/>
        <w:ind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Некоторые лаборатории и ресурсные центры комплекса:</w:t>
      </w:r>
    </w:p>
    <w:p w14:paraId="14000000">
      <w:pPr>
        <w:widowControl w:val="1"/>
        <w:numPr>
          <w:ilvl w:val="0"/>
          <w:numId w:val="1"/>
        </w:numPr>
        <w:spacing w:after="120" w:before="120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аналитических методов;</w:t>
      </w:r>
    </w:p>
    <w:p w14:paraId="15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биоматериалов;</w:t>
      </w:r>
    </w:p>
    <w:p w14:paraId="16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биотехнологических продуктов;</w:t>
      </w:r>
    </w:p>
    <w:p w14:paraId="17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генетической инженерии;</w:t>
      </w:r>
    </w:p>
    <w:p w14:paraId="18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геномных исследований;</w:t>
      </w:r>
    </w:p>
    <w:p w14:paraId="19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доклинических исследований;</w:t>
      </w:r>
    </w:p>
    <w:p w14:paraId="1A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естественных наук;</w:t>
      </w:r>
    </w:p>
    <w:p w14:paraId="1B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клеточных технологий и иммунологии;</w:t>
      </w:r>
    </w:p>
    <w:p w14:paraId="1C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когнитивных исследований;</w:t>
      </w:r>
    </w:p>
    <w:p w14:paraId="1D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медицинской химии;</w:t>
      </w:r>
    </w:p>
    <w:p w14:paraId="1E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междисциплинарных исследований спорта;</w:t>
      </w:r>
    </w:p>
    <w:p w14:paraId="1F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Ресурсный центр робототехники;</w:t>
      </w:r>
    </w:p>
    <w:p w14:paraId="20000000">
      <w:pPr>
        <w:widowControl w:val="1"/>
        <w:numPr>
          <w:ilvl w:val="0"/>
          <w:numId w:val="1"/>
        </w:numPr>
        <w:spacing w:after="120" w:beforeAutospacing="on" w:line="240" w:lineRule="auto"/>
        <w:ind w:left="0"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>Центр по ремонту и техническому обслуживанию высокотехнологичного научного оборудования.</w:t>
      </w:r>
    </w:p>
    <w:p w14:paraId="21000000">
      <w:pPr>
        <w:widowControl w:val="1"/>
        <w:spacing w:after="120" w:line="240" w:lineRule="auto"/>
        <w:ind/>
        <w:contextualSpacing w:val="1"/>
        <w:rPr>
          <w:rFonts w:ascii="Times New Roman" w:hAnsi="Times New Roman"/>
          <w:color w:val="333333"/>
          <w:sz w:val="32"/>
        </w:rPr>
      </w:pPr>
      <w:r>
        <w:rPr>
          <w:rFonts w:ascii="Times New Roman" w:hAnsi="Times New Roman"/>
          <w:color w:val="333333"/>
          <w:sz w:val="32"/>
        </w:rPr>
        <w:t xml:space="preserve">По информации на апрель 2024 года, в университете насчитывалось 123 лаборатории общей площадью около 9 000 м². К середине 2026 года планируют ввести в эксплуатацию вторую очередь лабораторного </w:t>
      </w:r>
      <w:r>
        <w:rPr>
          <w:rFonts w:ascii="Times New Roman" w:hAnsi="Times New Roman"/>
          <w:color w:val="333333"/>
          <w:sz w:val="32"/>
        </w:rPr>
        <w:t>комплекса, в которую войдут более 100 новых лабораторий, в том числе Ресурсный центр доклинических исследований.</w:t>
      </w:r>
    </w:p>
    <w:p w14:paraId="22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</w:p>
    <w:p w14:paraId="23000000">
      <w:pPr>
        <w:widowControl w:val="1"/>
        <w:spacing w:after="0" w:line="240" w:lineRule="auto"/>
        <w:ind/>
        <w:contextualSpacing w:val="1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 xml:space="preserve">Помимо насыщенной деловой программы, участников Конгресса ждала разнообразная спортивная и вечерняя программы. Также для них была организована выставочная площадка, на которой можно было увидеть научные разработки от ведущих вузов, компаний и научно-образовательных центров. Среди экспонатов можно было встретить когнитивные тренажёры, </w:t>
      </w:r>
      <w:r>
        <w:rPr>
          <w:rFonts w:ascii="Times New Roman" w:hAnsi="Times New Roman"/>
          <w:color w:val="000000"/>
          <w:sz w:val="32"/>
        </w:rPr>
        <w:t>биоморфные</w:t>
      </w:r>
      <w:r>
        <w:rPr>
          <w:rFonts w:ascii="Times New Roman" w:hAnsi="Times New Roman"/>
          <w:color w:val="000000"/>
          <w:sz w:val="32"/>
        </w:rPr>
        <w:t xml:space="preserve"> </w:t>
      </w:r>
      <w:r>
        <w:rPr>
          <w:rFonts w:ascii="Times New Roman" w:hAnsi="Times New Roman"/>
          <w:color w:val="000000"/>
          <w:sz w:val="32"/>
        </w:rPr>
        <w:t>беспилотники</w:t>
      </w:r>
      <w:r>
        <w:rPr>
          <w:rFonts w:ascii="Times New Roman" w:hAnsi="Times New Roman"/>
          <w:color w:val="000000"/>
          <w:sz w:val="32"/>
        </w:rPr>
        <w:t xml:space="preserve">, SWIR-камеры, скетч-роботов, </w:t>
      </w:r>
      <w:r>
        <w:rPr>
          <w:rFonts w:ascii="Times New Roman" w:hAnsi="Times New Roman"/>
          <w:color w:val="000000"/>
          <w:sz w:val="32"/>
        </w:rPr>
        <w:t>экзоскелеты</w:t>
      </w:r>
      <w:r>
        <w:rPr>
          <w:rFonts w:ascii="Times New Roman" w:hAnsi="Times New Roman"/>
          <w:color w:val="000000"/>
          <w:sz w:val="32"/>
        </w:rPr>
        <w:t xml:space="preserve">, приспособления для </w:t>
      </w:r>
      <w:r>
        <w:rPr>
          <w:rFonts w:ascii="Times New Roman" w:hAnsi="Times New Roman"/>
          <w:color w:val="000000"/>
          <w:sz w:val="32"/>
        </w:rPr>
        <w:t>детекции</w:t>
      </w:r>
      <w:r>
        <w:rPr>
          <w:rFonts w:ascii="Times New Roman" w:hAnsi="Times New Roman"/>
          <w:color w:val="000000"/>
          <w:sz w:val="32"/>
        </w:rPr>
        <w:t xml:space="preserve"> двигательных намерений пользователя, виртуальные образы советских учёных, арт-инсталляции и не только.</w:t>
      </w:r>
    </w:p>
    <w:p w14:paraId="24000000">
      <w:pPr>
        <w:widowControl w:val="1"/>
        <w:spacing w:after="180" w:before="30" w:line="240" w:lineRule="auto"/>
        <w:ind/>
        <w:contextualSpacing w:val="1"/>
        <w:jc w:val="both"/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color w:val="000000"/>
          <w:sz w:val="32"/>
        </w:rPr>
        <w:t>Поразить, вдохновить и побудить к научным открытиям — всё это сумел Конгресс. Энергия мероприятия вселила чувство гордости за отечественные достижения и укрепила уверенность в Будущем России. В Будущем, которое создают они — молодые учёные.</w:t>
      </w:r>
    </w:p>
    <w:p w14:paraId="25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</w:p>
    <w:p w14:paraId="26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Сразу после этой невероятной и насыщенной знаниями поездки, я успела поучаствовать в конкурсе «Учитель года»</w:t>
      </w:r>
      <w:r>
        <w:rPr>
          <w:rFonts w:ascii="Times New Roman" w:hAnsi="Times New Roman"/>
          <w:sz w:val="32"/>
        </w:rPr>
        <w:t>. Мои мысли по этому поводу.</w:t>
      </w:r>
    </w:p>
    <w:p w14:paraId="27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Style w:val="Style_1_ch"/>
          <w:rFonts w:ascii="Times New Roman" w:hAnsi="Times New Roman"/>
          <w:color w:val="0F1115"/>
          <w:sz w:val="32"/>
        </w:rPr>
        <w:t>1</w:t>
      </w:r>
      <w:r>
        <w:rPr>
          <w:rFonts w:ascii="Times New Roman" w:hAnsi="Times New Roman"/>
          <w:b w:val="1"/>
          <w:sz w:val="32"/>
        </w:rPr>
        <w:t>. Ценность процесса, независимо от результата.</w:t>
      </w:r>
    </w:p>
    <w:p w14:paraId="28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b w:val="1"/>
          <w:i w:val="1"/>
          <w:sz w:val="32"/>
        </w:rPr>
        <w:t>Профессиональный рост</w:t>
      </w:r>
      <w:r>
        <w:rPr>
          <w:rFonts w:ascii="Times New Roman" w:hAnsi="Times New Roman"/>
          <w:sz w:val="32"/>
        </w:rPr>
        <w:t xml:space="preserve">: Подготовка к конкурсу — это интенсивный курс саморазвития. </w:t>
      </w:r>
    </w:p>
    <w:p w14:paraId="29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b w:val="1"/>
          <w:i w:val="1"/>
          <w:sz w:val="32"/>
        </w:rPr>
        <w:t>Взгляд со стороны</w:t>
      </w:r>
      <w:r>
        <w:rPr>
          <w:rFonts w:ascii="Times New Roman" w:hAnsi="Times New Roman"/>
          <w:i w:val="1"/>
          <w:sz w:val="32"/>
        </w:rPr>
        <w:t>:</w:t>
      </w:r>
      <w:r>
        <w:rPr>
          <w:rFonts w:ascii="Times New Roman" w:hAnsi="Times New Roman"/>
          <w:sz w:val="32"/>
        </w:rPr>
        <w:t> Общение с жюри и коллегами-конкурсантами — это уникальная обратная связь. Даже критические замечания (хотя порой болезненные) становятся точками роста.</w:t>
      </w:r>
    </w:p>
    <w:p w14:paraId="2A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b w:val="1"/>
          <w:i w:val="1"/>
          <w:sz w:val="32"/>
        </w:rPr>
        <w:t>Выход из зоны комфорта:</w:t>
      </w:r>
      <w:r>
        <w:rPr>
          <w:rFonts w:ascii="Times New Roman" w:hAnsi="Times New Roman"/>
          <w:sz w:val="32"/>
        </w:rPr>
        <w:t> Сам факт выступления на таком уровне — это преодоление себя, стрессоустойчивость и колоссальный опыт, который останется с вами навсегда.</w:t>
      </w:r>
    </w:p>
    <w:p w14:paraId="2B000000">
      <w:pPr>
        <w:widowControl w:val="1"/>
        <w:spacing w:line="240" w:lineRule="auto"/>
        <w:ind/>
        <w:contextualSpacing w:val="1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2. Эмоциональная гамма</w:t>
      </w:r>
    </w:p>
    <w:p w14:paraId="2C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Гордость за себя и свою школу.</w:t>
      </w:r>
    </w:p>
    <w:p w14:paraId="2D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Радость от новых знакомств и профессионального единения.</w:t>
      </w:r>
    </w:p>
    <w:p w14:paraId="2E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Досада на мелкие недочёты или форс-мажоры.</w:t>
      </w:r>
    </w:p>
    <w:p w14:paraId="2F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Облегчение, что всё позади.</w:t>
      </w:r>
    </w:p>
    <w:p w14:paraId="30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Вдохновение от идей других участников.</w:t>
      </w:r>
    </w:p>
    <w:p w14:paraId="31000000">
      <w:pPr>
        <w:widowControl w:val="1"/>
        <w:spacing w:line="240" w:lineRule="auto"/>
        <w:ind/>
        <w:contextualSpacing w:val="1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3. Что это дало лично мне</w:t>
      </w:r>
      <w:r>
        <w:rPr>
          <w:rFonts w:ascii="Times New Roman" w:hAnsi="Times New Roman"/>
          <w:b w:val="1"/>
          <w:sz w:val="32"/>
        </w:rPr>
        <w:t>?</w:t>
      </w:r>
    </w:p>
    <w:p w14:paraId="32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b w:val="1"/>
          <w:i w:val="1"/>
          <w:sz w:val="32"/>
        </w:rPr>
        <w:t>Переоценка приоритетов:</w:t>
      </w:r>
      <w:r>
        <w:rPr>
          <w:rFonts w:ascii="Times New Roman" w:hAnsi="Times New Roman"/>
          <w:sz w:val="32"/>
        </w:rPr>
        <w:t> Что для вас главное в преподавании? Конкурс помогает это яснее понять.</w:t>
      </w:r>
    </w:p>
    <w:p w14:paraId="33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b w:val="1"/>
          <w:i w:val="1"/>
          <w:sz w:val="32"/>
        </w:rPr>
        <w:t>Обретение сообщества</w:t>
      </w:r>
      <w:r>
        <w:rPr>
          <w:rFonts w:ascii="Times New Roman" w:hAnsi="Times New Roman"/>
          <w:sz w:val="32"/>
        </w:rPr>
        <w:t>: Вы нашли единомышленников, с которыми можно делиться и вне конкурсной гонки.</w:t>
      </w:r>
    </w:p>
    <w:p w14:paraId="34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b w:val="1"/>
          <w:i w:val="1"/>
          <w:sz w:val="32"/>
        </w:rPr>
        <w:t>Повышение самооценки:</w:t>
      </w:r>
      <w:r>
        <w:rPr>
          <w:rFonts w:ascii="Times New Roman" w:hAnsi="Times New Roman"/>
          <w:sz w:val="32"/>
        </w:rPr>
        <w:t> Вы доказали в первую очередь себе, что можете многое.</w:t>
      </w:r>
    </w:p>
    <w:p w14:paraId="35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b w:val="1"/>
          <w:sz w:val="32"/>
        </w:rPr>
        <w:t>4. Взгляд в будущее</w:t>
      </w:r>
      <w:r>
        <w:rPr>
          <w:rFonts w:ascii="Times New Roman" w:hAnsi="Times New Roman"/>
          <w:sz w:val="32"/>
        </w:rPr>
        <w:t>.</w:t>
      </w:r>
    </w:p>
    <w:p w14:paraId="36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Какие находки и методы вы точно внедрите в свои уроки?</w:t>
      </w:r>
    </w:p>
    <w:p w14:paraId="37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Чем хотите заняться дальше?  Стал ли конкурс точкой отсчёта для нового этапа в карьере?</w:t>
      </w:r>
    </w:p>
    <w:p w14:paraId="38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b w:val="1"/>
          <w:i w:val="1"/>
          <w:sz w:val="32"/>
        </w:rPr>
        <w:t>Самое важное:</w:t>
      </w:r>
      <w:r>
        <w:rPr>
          <w:rFonts w:ascii="Times New Roman" w:hAnsi="Times New Roman"/>
          <w:sz w:val="32"/>
        </w:rPr>
        <w:t> Не сравнивайте себя с другими. Ваш путь, ваш класс, ваши дети — уникальны. Конкурс — это срез момента, яркая вспышка. А настоящая педагогика — это ежедневный, иногда незаметный со стороны, труд, который меняет жизни.</w:t>
      </w:r>
    </w:p>
    <w:p w14:paraId="39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</w:p>
    <w:p w14:paraId="3A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Я проделала</w:t>
      </w:r>
      <w:r>
        <w:rPr>
          <w:rFonts w:ascii="Times New Roman" w:hAnsi="Times New Roman"/>
          <w:sz w:val="32"/>
        </w:rPr>
        <w:t xml:space="preserve"> огромную работу. </w:t>
      </w:r>
      <w:r>
        <w:rPr>
          <w:rFonts w:ascii="Times New Roman" w:hAnsi="Times New Roman"/>
          <w:sz w:val="32"/>
        </w:rPr>
        <w:t>Я себе благодарна</w:t>
      </w:r>
      <w:r>
        <w:rPr>
          <w:rFonts w:ascii="Times New Roman" w:hAnsi="Times New Roman"/>
          <w:sz w:val="32"/>
        </w:rPr>
        <w:t xml:space="preserve">, независимо от итогового места. </w:t>
      </w:r>
      <w:r>
        <w:rPr>
          <w:rFonts w:ascii="Times New Roman" w:hAnsi="Times New Roman"/>
          <w:sz w:val="32"/>
        </w:rPr>
        <w:t>Я</w:t>
      </w:r>
      <w:r>
        <w:rPr>
          <w:rFonts w:ascii="Times New Roman" w:hAnsi="Times New Roman"/>
          <w:sz w:val="32"/>
        </w:rPr>
        <w:t xml:space="preserve"> уже — учитель, который ищет, развивается и не боится испытаний. </w:t>
      </w:r>
      <w:bookmarkStart w:id="1" w:name="_GoBack"/>
      <w:bookmarkEnd w:id="1"/>
    </w:p>
    <w:p w14:paraId="3B000000">
      <w:pPr>
        <w:widowControl w:val="1"/>
        <w:spacing w:line="240" w:lineRule="auto"/>
        <w:ind/>
        <w:contextualSpacing w:val="1"/>
        <w:rPr>
          <w:rFonts w:ascii="Times New Roman" w:hAnsi="Times New Roman"/>
          <w:sz w:val="32"/>
        </w:rPr>
      </w:pPr>
    </w:p>
    <w:sectPr>
      <w:pgSz w:h="16838" w:orient="portrait" w:w="11906"/>
      <w:pgMar w:bottom="720" w:footer="708" w:gutter="0" w:header="708" w:left="720" w:right="720" w:top="72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widowControl w:val="1"/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widowControl w:val="1"/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widowControl w:val="1"/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widowControl w:val="1"/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widowControl w:val="1"/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widowControl w:val="1"/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widowControl w:val="1"/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widowControl w:val="1"/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widowControl w:val="1"/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ds-markdown-paragraph"/>
    <w:basedOn w:val="Style_2"/>
    <w:link w:val="Style_7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7_ch" w:type="character">
    <w:name w:val="ds-markdown-paragraph"/>
    <w:basedOn w:val="Style_2_ch"/>
    <w:link w:val="Style_7"/>
    <w:rPr>
      <w:rFonts w:ascii="Times New Roman" w:hAnsi="Times New Roman"/>
      <w:sz w:val="24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Normal (Web)"/>
    <w:basedOn w:val="Style_2"/>
    <w:link w:val="Style_10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0_ch" w:type="character">
    <w:name w:val="Normal (Web)"/>
    <w:basedOn w:val="Style_2_ch"/>
    <w:link w:val="Style_10"/>
    <w:rPr>
      <w:rFonts w:ascii="Times New Roman" w:hAnsi="Times New Roman"/>
      <w:sz w:val="24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" w:type="paragraph">
    <w:name w:val="Strong"/>
    <w:basedOn w:val="Style_12"/>
    <w:link w:val="Style_1_ch"/>
    <w:rPr>
      <w:b w:val="1"/>
    </w:rPr>
  </w:style>
  <w:style w:styleId="Style_1_ch" w:type="character">
    <w:name w:val="Strong"/>
    <w:basedOn w:val="Style_12_ch"/>
    <w:link w:val="Style_1"/>
    <w:rPr>
      <w:b w:val="1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basedOn w:val="Style_12"/>
    <w:link w:val="Style_15_ch"/>
    <w:rPr>
      <w:color w:val="0000FF"/>
      <w:u w:val="single"/>
    </w:rPr>
  </w:style>
  <w:style w:styleId="Style_15_ch" w:type="character">
    <w:name w:val="Hyperlink"/>
    <w:basedOn w:val="Style_12_ch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basedOn w:val="Style_2"/>
    <w:link w:val="Style_24_ch"/>
    <w:uiPriority w:val="9"/>
    <w:qFormat/>
    <w:pPr>
      <w:widowControl w:val="1"/>
      <w:spacing w:afterAutospacing="on" w:beforeAutospacing="on" w:line="240" w:lineRule="auto"/>
      <w:ind/>
      <w:outlineLvl w:val="3"/>
    </w:pPr>
    <w:rPr>
      <w:rFonts w:ascii="Times New Roman" w:hAnsi="Times New Roman"/>
      <w:b w:val="1"/>
      <w:sz w:val="24"/>
    </w:rPr>
  </w:style>
  <w:style w:styleId="Style_24_ch" w:type="character">
    <w:name w:val="heading 4"/>
    <w:basedOn w:val="Style_2_ch"/>
    <w:link w:val="Style_24"/>
    <w:rPr>
      <w:rFonts w:ascii="Times New Roman" w:hAnsi="Times New Roman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MyOffice-CoreFramework-Android/39-1403.1124.10324.1037.1@679e5ff1b4970ca5064828970bd80f08e8f6daeb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2026-01-11T12:48:00Z</dcterms:created>
  <dcterms:modified xsi:type="dcterms:W3CDTF">2026-01-11T14:48:00Z</dcterms:modified>
</cp:coreProperties>
</file>